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1127"/>
        <w:gridCol w:w="857"/>
        <w:gridCol w:w="1176"/>
        <w:gridCol w:w="1029"/>
        <w:gridCol w:w="759"/>
        <w:gridCol w:w="1262"/>
        <w:gridCol w:w="1139"/>
        <w:gridCol w:w="1225"/>
        <w:gridCol w:w="1102"/>
      </w:tblGrid>
      <w:tr w:rsidR="00A60F0D" w:rsidRPr="00A60F0D" w:rsidTr="00A60F0D">
        <w:trPr>
          <w:trHeight w:val="435"/>
        </w:trPr>
        <w:tc>
          <w:tcPr>
            <w:tcW w:w="19740" w:type="dxa"/>
            <w:gridSpan w:val="10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FORMULAR</w:t>
            </w:r>
          </w:p>
        </w:tc>
      </w:tr>
      <w:tr w:rsidR="00A60F0D" w:rsidRPr="00A60F0D" w:rsidTr="00A60F0D">
        <w:trPr>
          <w:trHeight w:val="435"/>
        </w:trPr>
        <w:tc>
          <w:tcPr>
            <w:tcW w:w="19740" w:type="dxa"/>
            <w:gridSpan w:val="10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de raportare anuală a datelor statistice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</w:p>
        </w:tc>
        <w:tc>
          <w:tcPr>
            <w:tcW w:w="1700" w:type="dxa"/>
            <w:noWrap/>
            <w:hideMark/>
          </w:tcPr>
          <w:p w:rsidR="00A60F0D" w:rsidRPr="00A60F0D" w:rsidRDefault="00A60F0D" w:rsidP="00A60F0D"/>
        </w:tc>
        <w:tc>
          <w:tcPr>
            <w:tcW w:w="1260" w:type="dxa"/>
            <w:noWrap/>
            <w:hideMark/>
          </w:tcPr>
          <w:p w:rsidR="00A60F0D" w:rsidRPr="00A60F0D" w:rsidRDefault="00A60F0D" w:rsidP="00A60F0D"/>
        </w:tc>
        <w:tc>
          <w:tcPr>
            <w:tcW w:w="1780" w:type="dxa"/>
            <w:noWrap/>
            <w:hideMark/>
          </w:tcPr>
          <w:p w:rsidR="00A60F0D" w:rsidRPr="00A60F0D" w:rsidRDefault="00A60F0D" w:rsidP="00A60F0D"/>
        </w:tc>
        <w:tc>
          <w:tcPr>
            <w:tcW w:w="1540" w:type="dxa"/>
            <w:noWrap/>
            <w:hideMark/>
          </w:tcPr>
          <w:p w:rsidR="00A60F0D" w:rsidRPr="00A60F0D" w:rsidRDefault="00A60F0D" w:rsidP="00A60F0D"/>
        </w:tc>
        <w:tc>
          <w:tcPr>
            <w:tcW w:w="1100" w:type="dxa"/>
            <w:noWrap/>
            <w:hideMark/>
          </w:tcPr>
          <w:p w:rsidR="00A60F0D" w:rsidRPr="00A60F0D" w:rsidRDefault="00A60F0D" w:rsidP="00A60F0D"/>
        </w:tc>
        <w:tc>
          <w:tcPr>
            <w:tcW w:w="1920" w:type="dxa"/>
            <w:noWrap/>
            <w:hideMark/>
          </w:tcPr>
          <w:p w:rsidR="00A60F0D" w:rsidRPr="00A60F0D" w:rsidRDefault="00A60F0D" w:rsidP="00A60F0D"/>
        </w:tc>
        <w:tc>
          <w:tcPr>
            <w:tcW w:w="1720" w:type="dxa"/>
            <w:noWrap/>
            <w:hideMark/>
          </w:tcPr>
          <w:p w:rsidR="00A60F0D" w:rsidRPr="00A60F0D" w:rsidRDefault="00A60F0D" w:rsidP="00A60F0D"/>
        </w:tc>
        <w:tc>
          <w:tcPr>
            <w:tcW w:w="1860" w:type="dxa"/>
            <w:noWrap/>
            <w:hideMark/>
          </w:tcPr>
          <w:p w:rsidR="00A60F0D" w:rsidRPr="00A60F0D" w:rsidRDefault="00A60F0D" w:rsidP="00A60F0D"/>
        </w:tc>
        <w:tc>
          <w:tcPr>
            <w:tcW w:w="1660" w:type="dxa"/>
            <w:noWrap/>
            <w:hideMark/>
          </w:tcPr>
          <w:p w:rsidR="00A60F0D" w:rsidRPr="00A60F0D" w:rsidRDefault="00A60F0D" w:rsidP="00A60F0D"/>
        </w:tc>
      </w:tr>
      <w:tr w:rsidR="00A60F0D" w:rsidRPr="00A60F0D" w:rsidTr="00A60F0D">
        <w:trPr>
          <w:trHeight w:val="240"/>
        </w:trPr>
        <w:tc>
          <w:tcPr>
            <w:tcW w:w="5200" w:type="dxa"/>
            <w:noWrap/>
            <w:hideMark/>
          </w:tcPr>
          <w:p w:rsidR="00A60F0D" w:rsidRPr="00A60F0D" w:rsidRDefault="00A60F0D" w:rsidP="00A60F0D"/>
        </w:tc>
        <w:tc>
          <w:tcPr>
            <w:tcW w:w="1700" w:type="dxa"/>
            <w:noWrap/>
            <w:hideMark/>
          </w:tcPr>
          <w:p w:rsidR="00A60F0D" w:rsidRPr="00A60F0D" w:rsidRDefault="00A60F0D" w:rsidP="00A60F0D"/>
        </w:tc>
        <w:tc>
          <w:tcPr>
            <w:tcW w:w="1260" w:type="dxa"/>
            <w:noWrap/>
            <w:hideMark/>
          </w:tcPr>
          <w:p w:rsidR="00A60F0D" w:rsidRPr="00A60F0D" w:rsidRDefault="00A60F0D" w:rsidP="00A60F0D"/>
        </w:tc>
        <w:tc>
          <w:tcPr>
            <w:tcW w:w="1780" w:type="dxa"/>
            <w:noWrap/>
            <w:hideMark/>
          </w:tcPr>
          <w:p w:rsidR="00A60F0D" w:rsidRPr="00A60F0D" w:rsidRDefault="00A60F0D" w:rsidP="00A60F0D"/>
        </w:tc>
        <w:tc>
          <w:tcPr>
            <w:tcW w:w="1540" w:type="dxa"/>
            <w:noWrap/>
            <w:hideMark/>
          </w:tcPr>
          <w:p w:rsidR="00A60F0D" w:rsidRPr="00A60F0D" w:rsidRDefault="00A60F0D" w:rsidP="00A60F0D"/>
        </w:tc>
        <w:tc>
          <w:tcPr>
            <w:tcW w:w="1100" w:type="dxa"/>
            <w:noWrap/>
            <w:hideMark/>
          </w:tcPr>
          <w:p w:rsidR="00A60F0D" w:rsidRPr="00A60F0D" w:rsidRDefault="00A60F0D" w:rsidP="00A60F0D"/>
        </w:tc>
        <w:tc>
          <w:tcPr>
            <w:tcW w:w="1920" w:type="dxa"/>
            <w:noWrap/>
            <w:hideMark/>
          </w:tcPr>
          <w:p w:rsidR="00A60F0D" w:rsidRPr="00A60F0D" w:rsidRDefault="00A60F0D" w:rsidP="00A60F0D"/>
        </w:tc>
        <w:tc>
          <w:tcPr>
            <w:tcW w:w="1720" w:type="dxa"/>
            <w:noWrap/>
            <w:hideMark/>
          </w:tcPr>
          <w:p w:rsidR="00A60F0D" w:rsidRPr="00A60F0D" w:rsidRDefault="00A60F0D" w:rsidP="00A60F0D"/>
        </w:tc>
        <w:tc>
          <w:tcPr>
            <w:tcW w:w="1860" w:type="dxa"/>
            <w:noWrap/>
            <w:hideMark/>
          </w:tcPr>
          <w:p w:rsidR="00A60F0D" w:rsidRPr="00A60F0D" w:rsidRDefault="00A60F0D" w:rsidP="00A60F0D"/>
        </w:tc>
        <w:tc>
          <w:tcPr>
            <w:tcW w:w="1660" w:type="dxa"/>
            <w:noWrap/>
            <w:hideMark/>
          </w:tcPr>
          <w:p w:rsidR="00A60F0D" w:rsidRPr="00A60F0D" w:rsidRDefault="00A60F0D" w:rsidP="00A60F0D"/>
        </w:tc>
      </w:tr>
      <w:tr w:rsidR="00A60F0D" w:rsidRPr="00A60F0D" w:rsidTr="00A60F0D">
        <w:trPr>
          <w:trHeight w:val="435"/>
        </w:trPr>
        <w:tc>
          <w:tcPr>
            <w:tcW w:w="5200" w:type="dxa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Autoritatea:</w:t>
            </w:r>
          </w:p>
        </w:tc>
        <w:tc>
          <w:tcPr>
            <w:tcW w:w="4740" w:type="dxa"/>
            <w:gridSpan w:val="3"/>
            <w:noWrap/>
            <w:hideMark/>
          </w:tcPr>
          <w:p w:rsidR="00A60F0D" w:rsidRPr="00A60F0D" w:rsidRDefault="00A60F0D" w:rsidP="00A60F0D">
            <w:r w:rsidRPr="00A60F0D">
              <w:t>D.S.V.S.A. ARAD</w:t>
            </w:r>
          </w:p>
        </w:tc>
        <w:tc>
          <w:tcPr>
            <w:tcW w:w="1540" w:type="dxa"/>
            <w:noWrap/>
            <w:hideMark/>
          </w:tcPr>
          <w:p w:rsidR="00A60F0D" w:rsidRPr="00A60F0D" w:rsidRDefault="00A60F0D" w:rsidP="00A60F0D"/>
        </w:tc>
        <w:tc>
          <w:tcPr>
            <w:tcW w:w="1100" w:type="dxa"/>
            <w:noWrap/>
            <w:hideMark/>
          </w:tcPr>
          <w:p w:rsidR="00A60F0D" w:rsidRPr="00A60F0D" w:rsidRDefault="00A60F0D"/>
        </w:tc>
        <w:tc>
          <w:tcPr>
            <w:tcW w:w="1920" w:type="dxa"/>
            <w:noWrap/>
            <w:hideMark/>
          </w:tcPr>
          <w:p w:rsidR="00A60F0D" w:rsidRPr="00A60F0D" w:rsidRDefault="00A60F0D"/>
        </w:tc>
        <w:tc>
          <w:tcPr>
            <w:tcW w:w="5240" w:type="dxa"/>
            <w:gridSpan w:val="3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Formular valid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CUI:</w:t>
            </w:r>
          </w:p>
        </w:tc>
        <w:tc>
          <w:tcPr>
            <w:tcW w:w="4740" w:type="dxa"/>
            <w:gridSpan w:val="3"/>
            <w:noWrap/>
            <w:hideMark/>
          </w:tcPr>
          <w:p w:rsidR="00A60F0D" w:rsidRPr="00A60F0D" w:rsidRDefault="00A60F0D" w:rsidP="00A60F0D">
            <w:r w:rsidRPr="00A60F0D">
              <w:t>3519852</w:t>
            </w:r>
          </w:p>
        </w:tc>
        <w:tc>
          <w:tcPr>
            <w:tcW w:w="1540" w:type="dxa"/>
            <w:noWrap/>
            <w:hideMark/>
          </w:tcPr>
          <w:p w:rsidR="00A60F0D" w:rsidRPr="00A60F0D" w:rsidRDefault="00A60F0D" w:rsidP="00A60F0D"/>
        </w:tc>
        <w:tc>
          <w:tcPr>
            <w:tcW w:w="1100" w:type="dxa"/>
            <w:noWrap/>
            <w:hideMark/>
          </w:tcPr>
          <w:p w:rsidR="00A60F0D" w:rsidRPr="00A60F0D" w:rsidRDefault="00A60F0D"/>
        </w:tc>
        <w:tc>
          <w:tcPr>
            <w:tcW w:w="1920" w:type="dxa"/>
            <w:noWrap/>
            <w:hideMark/>
          </w:tcPr>
          <w:p w:rsidR="00A60F0D" w:rsidRPr="00A60F0D" w:rsidRDefault="00A60F0D"/>
        </w:tc>
        <w:tc>
          <w:tcPr>
            <w:tcW w:w="1720" w:type="dxa"/>
            <w:noWrap/>
            <w:hideMark/>
          </w:tcPr>
          <w:p w:rsidR="00A60F0D" w:rsidRPr="00A60F0D" w:rsidRDefault="00A60F0D"/>
        </w:tc>
        <w:tc>
          <w:tcPr>
            <w:tcW w:w="1860" w:type="dxa"/>
            <w:noWrap/>
            <w:hideMark/>
          </w:tcPr>
          <w:p w:rsidR="00A60F0D" w:rsidRPr="00A60F0D" w:rsidRDefault="00A60F0D"/>
        </w:tc>
        <w:tc>
          <w:tcPr>
            <w:tcW w:w="1660" w:type="dxa"/>
            <w:noWrap/>
            <w:hideMark/>
          </w:tcPr>
          <w:p w:rsidR="00A60F0D" w:rsidRPr="00A60F0D" w:rsidRDefault="00A60F0D"/>
        </w:tc>
      </w:tr>
      <w:tr w:rsidR="00A60F0D" w:rsidRPr="00A60F0D" w:rsidTr="00A60F0D">
        <w:trPr>
          <w:trHeight w:val="435"/>
        </w:trPr>
        <w:tc>
          <w:tcPr>
            <w:tcW w:w="5200" w:type="dxa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Reprezentant legal:</w:t>
            </w:r>
          </w:p>
        </w:tc>
        <w:tc>
          <w:tcPr>
            <w:tcW w:w="4740" w:type="dxa"/>
            <w:gridSpan w:val="3"/>
            <w:noWrap/>
            <w:hideMark/>
          </w:tcPr>
          <w:p w:rsidR="00A60F0D" w:rsidRPr="00A60F0D" w:rsidRDefault="00A60F0D" w:rsidP="00A60F0D">
            <w:r w:rsidRPr="00A60F0D">
              <w:t>ROȘU MARCEL</w:t>
            </w:r>
          </w:p>
        </w:tc>
        <w:tc>
          <w:tcPr>
            <w:tcW w:w="1540" w:type="dxa"/>
            <w:noWrap/>
            <w:hideMark/>
          </w:tcPr>
          <w:p w:rsidR="00A60F0D" w:rsidRPr="00A60F0D" w:rsidRDefault="00A60F0D" w:rsidP="00A60F0D"/>
        </w:tc>
        <w:tc>
          <w:tcPr>
            <w:tcW w:w="1100" w:type="dxa"/>
            <w:noWrap/>
            <w:hideMark/>
          </w:tcPr>
          <w:p w:rsidR="00A60F0D" w:rsidRPr="00A60F0D" w:rsidRDefault="00A60F0D"/>
        </w:tc>
        <w:tc>
          <w:tcPr>
            <w:tcW w:w="1920" w:type="dxa"/>
            <w:noWrap/>
            <w:hideMark/>
          </w:tcPr>
          <w:p w:rsidR="00A60F0D" w:rsidRPr="00A60F0D" w:rsidRDefault="00A60F0D"/>
        </w:tc>
        <w:tc>
          <w:tcPr>
            <w:tcW w:w="1720" w:type="dxa"/>
            <w:noWrap/>
            <w:hideMark/>
          </w:tcPr>
          <w:p w:rsidR="00A60F0D" w:rsidRPr="00A60F0D" w:rsidRDefault="00A60F0D"/>
        </w:tc>
        <w:tc>
          <w:tcPr>
            <w:tcW w:w="1860" w:type="dxa"/>
            <w:noWrap/>
            <w:hideMark/>
          </w:tcPr>
          <w:p w:rsidR="00A60F0D" w:rsidRPr="00A60F0D" w:rsidRDefault="00A60F0D"/>
        </w:tc>
        <w:tc>
          <w:tcPr>
            <w:tcW w:w="1660" w:type="dxa"/>
            <w:noWrap/>
            <w:hideMark/>
          </w:tcPr>
          <w:p w:rsidR="00A60F0D" w:rsidRPr="00A60F0D" w:rsidRDefault="00A60F0D"/>
        </w:tc>
      </w:tr>
      <w:tr w:rsidR="00A60F0D" w:rsidRPr="00A60F0D" w:rsidTr="00A60F0D">
        <w:trPr>
          <w:trHeight w:val="285"/>
        </w:trPr>
        <w:tc>
          <w:tcPr>
            <w:tcW w:w="5200" w:type="dxa"/>
            <w:noWrap/>
            <w:hideMark/>
          </w:tcPr>
          <w:p w:rsidR="00A60F0D" w:rsidRPr="00A60F0D" w:rsidRDefault="00A60F0D"/>
        </w:tc>
        <w:tc>
          <w:tcPr>
            <w:tcW w:w="1700" w:type="dxa"/>
            <w:noWrap/>
            <w:hideMark/>
          </w:tcPr>
          <w:p w:rsidR="00A60F0D" w:rsidRPr="00A60F0D" w:rsidRDefault="00A60F0D"/>
        </w:tc>
        <w:tc>
          <w:tcPr>
            <w:tcW w:w="1260" w:type="dxa"/>
            <w:noWrap/>
            <w:hideMark/>
          </w:tcPr>
          <w:p w:rsidR="00A60F0D" w:rsidRPr="00A60F0D" w:rsidRDefault="00A60F0D"/>
        </w:tc>
        <w:tc>
          <w:tcPr>
            <w:tcW w:w="1780" w:type="dxa"/>
            <w:noWrap/>
            <w:hideMark/>
          </w:tcPr>
          <w:p w:rsidR="00A60F0D" w:rsidRPr="00A60F0D" w:rsidRDefault="00A60F0D"/>
        </w:tc>
        <w:tc>
          <w:tcPr>
            <w:tcW w:w="1540" w:type="dxa"/>
            <w:noWrap/>
            <w:hideMark/>
          </w:tcPr>
          <w:p w:rsidR="00A60F0D" w:rsidRPr="00A60F0D" w:rsidRDefault="00A60F0D"/>
        </w:tc>
        <w:tc>
          <w:tcPr>
            <w:tcW w:w="1100" w:type="dxa"/>
            <w:noWrap/>
            <w:hideMark/>
          </w:tcPr>
          <w:p w:rsidR="00A60F0D" w:rsidRPr="00A60F0D" w:rsidRDefault="00A60F0D"/>
        </w:tc>
        <w:tc>
          <w:tcPr>
            <w:tcW w:w="1920" w:type="dxa"/>
            <w:noWrap/>
            <w:hideMark/>
          </w:tcPr>
          <w:p w:rsidR="00A60F0D" w:rsidRPr="00A60F0D" w:rsidRDefault="00A60F0D"/>
        </w:tc>
        <w:tc>
          <w:tcPr>
            <w:tcW w:w="1720" w:type="dxa"/>
            <w:noWrap/>
            <w:hideMark/>
          </w:tcPr>
          <w:p w:rsidR="00A60F0D" w:rsidRPr="00A60F0D" w:rsidRDefault="00A60F0D"/>
        </w:tc>
        <w:tc>
          <w:tcPr>
            <w:tcW w:w="1860" w:type="dxa"/>
            <w:noWrap/>
            <w:hideMark/>
          </w:tcPr>
          <w:p w:rsidR="00A60F0D" w:rsidRPr="00A60F0D" w:rsidRDefault="00A60F0D"/>
        </w:tc>
        <w:tc>
          <w:tcPr>
            <w:tcW w:w="1660" w:type="dxa"/>
            <w:noWrap/>
            <w:hideMark/>
          </w:tcPr>
          <w:p w:rsidR="00A60F0D" w:rsidRPr="00A60F0D" w:rsidRDefault="00A60F0D"/>
        </w:tc>
      </w:tr>
      <w:tr w:rsidR="00A60F0D" w:rsidRPr="00A60F0D" w:rsidTr="00A60F0D">
        <w:trPr>
          <w:trHeight w:val="435"/>
        </w:trPr>
        <w:tc>
          <w:tcPr>
            <w:tcW w:w="19740" w:type="dxa"/>
            <w:gridSpan w:val="10"/>
            <w:hideMark/>
          </w:tcPr>
          <w:p w:rsidR="00A60F0D" w:rsidRPr="00A60F0D" w:rsidRDefault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Raportare aferentă anului: 2024 (1 ianuarie – 31 decembrie)</w:t>
            </w:r>
          </w:p>
        </w:tc>
      </w:tr>
      <w:tr w:rsidR="00A60F0D" w:rsidRPr="00A60F0D" w:rsidTr="00A60F0D">
        <w:trPr>
          <w:trHeight w:val="435"/>
        </w:trPr>
        <w:tc>
          <w:tcPr>
            <w:tcW w:w="19740" w:type="dxa"/>
            <w:gridSpan w:val="10"/>
            <w:hideMark/>
          </w:tcPr>
          <w:p w:rsidR="00A60F0D" w:rsidRPr="00A60F0D" w:rsidRDefault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Cap 1 – Situația raportărilor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Indicatori</w:t>
            </w:r>
          </w:p>
        </w:tc>
        <w:tc>
          <w:tcPr>
            <w:tcW w:w="170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Nr. de raportări primite</w:t>
            </w:r>
          </w:p>
        </w:tc>
        <w:tc>
          <w:tcPr>
            <w:tcW w:w="126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Nr. de raportări în lucru</w:t>
            </w:r>
          </w:p>
        </w:tc>
        <w:tc>
          <w:tcPr>
            <w:tcW w:w="178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Nr. de raportări clasate, primă verificare</w:t>
            </w:r>
          </w:p>
        </w:tc>
        <w:tc>
          <w:tcPr>
            <w:tcW w:w="154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 xml:space="preserve">Nr. de raportări care au intrat în etapa de examinare propriu-zisă </w:t>
            </w:r>
          </w:p>
        </w:tc>
        <w:tc>
          <w:tcPr>
            <w:tcW w:w="6600" w:type="dxa"/>
            <w:gridSpan w:val="4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 xml:space="preserve">din care: </w:t>
            </w:r>
          </w:p>
        </w:tc>
        <w:tc>
          <w:tcPr>
            <w:tcW w:w="166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Nr. de raportări redirecționate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10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Nr. de raportări clasate</w:t>
            </w:r>
          </w:p>
        </w:tc>
        <w:tc>
          <w:tcPr>
            <w:tcW w:w="192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 xml:space="preserve">Nr. de raportări soluționate  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 xml:space="preserve"> din care:</w:t>
            </w:r>
          </w:p>
        </w:tc>
        <w:tc>
          <w:tcPr>
            <w:tcW w:w="1860" w:type="dxa"/>
            <w:vMerge w:val="restart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Nr. de raportări în lucru în examinare propriu-zisă</w:t>
            </w:r>
          </w:p>
        </w:tc>
        <w:tc>
          <w:tcPr>
            <w:tcW w:w="166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</w:tr>
      <w:tr w:rsidR="00A60F0D" w:rsidRPr="00A60F0D" w:rsidTr="00A60F0D">
        <w:trPr>
          <w:trHeight w:val="915"/>
        </w:trPr>
        <w:tc>
          <w:tcPr>
            <w:tcW w:w="520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10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7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Nr.  de proceduri judiciare întreprinse</w:t>
            </w:r>
          </w:p>
        </w:tc>
        <w:tc>
          <w:tcPr>
            <w:tcW w:w="186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A60F0D" w:rsidRPr="00A60F0D" w:rsidRDefault="00A60F0D">
            <w:pPr>
              <w:rPr>
                <w:b/>
                <w:bCs/>
              </w:rPr>
            </w:pPr>
          </w:p>
        </w:tc>
      </w:tr>
      <w:tr w:rsidR="00A60F0D" w:rsidRPr="00A60F0D" w:rsidTr="00A60F0D">
        <w:trPr>
          <w:trHeight w:val="240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1=2+3+4+9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2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3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4=5+6+8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5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6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7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8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9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I. Total (I=II+III)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Anonime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Nominale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II. Dintre care vizând entități din sectorul public (total)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lastRenderedPageBreak/>
              <w:t>Anonime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Nominale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III. Dintre care vizând entități din sectorul privat (total)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Anonime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Nominale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IV. Din domeniile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0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a. achiziții publice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64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b. servicii, produse și piețe financiare, precum și prevenirea spălării banilor și a finanțării terorismului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c. siguranța și conformitatea produselor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d. siguranța transporturilor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e. protecția mediului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f. protecția radiologică și securitatea nucleară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58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g. siguranța alimentelor și a hranei pentru animale, sănătatea și bunăstarea animalelor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h. sănătate publică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i. protecția consumatorului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600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>j. protecția vieții private și a datelor cu caracter personal și securitatea rețelelor și a sistemelor informatice 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630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lastRenderedPageBreak/>
              <w:t>k. încălcări care aduc atingere intereselor financiare ale Uniunii Europene (cum sunt menționate la art. 325 din TFUE)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690"/>
        </w:trPr>
        <w:tc>
          <w:tcPr>
            <w:tcW w:w="5200" w:type="dxa"/>
            <w:hideMark/>
          </w:tcPr>
          <w:p w:rsidR="00A60F0D" w:rsidRPr="00A60F0D" w:rsidRDefault="00A60F0D" w:rsidP="00A60F0D">
            <w:r w:rsidRPr="00A60F0D">
              <w:t xml:space="preserve">l. încălcări referitoare la piața internă (menționate la art. 26 alin. (2) din TFUE) </w:t>
            </w:r>
          </w:p>
        </w:tc>
        <w:tc>
          <w:tcPr>
            <w:tcW w:w="170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2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8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540" w:type="dxa"/>
            <w:hideMark/>
          </w:tcPr>
          <w:p w:rsidR="00A60F0D" w:rsidRPr="00A60F0D" w:rsidRDefault="00A60F0D" w:rsidP="00A60F0D">
            <w:r w:rsidRPr="00A60F0D">
              <w:t>0</w:t>
            </w:r>
          </w:p>
        </w:tc>
        <w:tc>
          <w:tcPr>
            <w:tcW w:w="110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9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72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8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  <w:tc>
          <w:tcPr>
            <w:tcW w:w="1660" w:type="dxa"/>
            <w:hideMark/>
          </w:tcPr>
          <w:p w:rsidR="00A60F0D" w:rsidRPr="00A60F0D" w:rsidRDefault="00A60F0D" w:rsidP="00A60F0D">
            <w:r w:rsidRPr="00A60F0D">
              <w:t> </w:t>
            </w:r>
          </w:p>
        </w:tc>
      </w:tr>
      <w:tr w:rsidR="00A60F0D" w:rsidRPr="00A60F0D" w:rsidTr="00A60F0D">
        <w:trPr>
          <w:trHeight w:val="435"/>
        </w:trPr>
        <w:tc>
          <w:tcPr>
            <w:tcW w:w="19740" w:type="dxa"/>
            <w:gridSpan w:val="10"/>
            <w:hideMark/>
          </w:tcPr>
          <w:p w:rsidR="00A60F0D" w:rsidRPr="00A60F0D" w:rsidRDefault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Observații:</w:t>
            </w:r>
          </w:p>
        </w:tc>
      </w:tr>
      <w:tr w:rsidR="00A60F0D" w:rsidRPr="00A60F0D" w:rsidTr="00A60F0D">
        <w:trPr>
          <w:trHeight w:val="435"/>
        </w:trPr>
        <w:tc>
          <w:tcPr>
            <w:tcW w:w="19740" w:type="dxa"/>
            <w:gridSpan w:val="10"/>
            <w:vMerge w:val="restart"/>
            <w:hideMark/>
          </w:tcPr>
          <w:p w:rsidR="00A60F0D" w:rsidRPr="00A60F0D" w:rsidRDefault="00A60F0D">
            <w:r w:rsidRPr="00A60F0D">
              <w:t xml:space="preserve">Se vor menționa alte rezultate/sancțiuni non-financiare </w:t>
            </w:r>
          </w:p>
        </w:tc>
      </w:tr>
      <w:tr w:rsidR="00A60F0D" w:rsidRPr="00A60F0D" w:rsidTr="00A60F0D">
        <w:trPr>
          <w:trHeight w:val="450"/>
        </w:trPr>
        <w:tc>
          <w:tcPr>
            <w:tcW w:w="19740" w:type="dxa"/>
            <w:gridSpan w:val="10"/>
            <w:vMerge/>
            <w:hideMark/>
          </w:tcPr>
          <w:p w:rsidR="00A60F0D" w:rsidRPr="00A60F0D" w:rsidRDefault="00A60F0D"/>
        </w:tc>
      </w:tr>
      <w:tr w:rsidR="00A60F0D" w:rsidRPr="00A60F0D" w:rsidTr="00A60F0D">
        <w:trPr>
          <w:trHeight w:val="345"/>
        </w:trPr>
        <w:tc>
          <w:tcPr>
            <w:tcW w:w="5200" w:type="dxa"/>
            <w:noWrap/>
            <w:hideMark/>
          </w:tcPr>
          <w:p w:rsidR="00A60F0D" w:rsidRPr="00A60F0D" w:rsidRDefault="00A60F0D"/>
        </w:tc>
        <w:tc>
          <w:tcPr>
            <w:tcW w:w="1700" w:type="dxa"/>
            <w:noWrap/>
            <w:hideMark/>
          </w:tcPr>
          <w:p w:rsidR="00A60F0D" w:rsidRPr="00A60F0D" w:rsidRDefault="00A60F0D"/>
        </w:tc>
        <w:tc>
          <w:tcPr>
            <w:tcW w:w="1260" w:type="dxa"/>
            <w:noWrap/>
            <w:hideMark/>
          </w:tcPr>
          <w:p w:rsidR="00A60F0D" w:rsidRPr="00A60F0D" w:rsidRDefault="00A60F0D"/>
        </w:tc>
        <w:tc>
          <w:tcPr>
            <w:tcW w:w="1780" w:type="dxa"/>
            <w:noWrap/>
            <w:hideMark/>
          </w:tcPr>
          <w:p w:rsidR="00A60F0D" w:rsidRPr="00A60F0D" w:rsidRDefault="00A60F0D"/>
        </w:tc>
        <w:tc>
          <w:tcPr>
            <w:tcW w:w="1540" w:type="dxa"/>
            <w:noWrap/>
            <w:hideMark/>
          </w:tcPr>
          <w:p w:rsidR="00A60F0D" w:rsidRPr="00A60F0D" w:rsidRDefault="00A60F0D"/>
        </w:tc>
        <w:tc>
          <w:tcPr>
            <w:tcW w:w="1100" w:type="dxa"/>
            <w:noWrap/>
            <w:hideMark/>
          </w:tcPr>
          <w:p w:rsidR="00A60F0D" w:rsidRPr="00A60F0D" w:rsidRDefault="00A60F0D"/>
        </w:tc>
        <w:tc>
          <w:tcPr>
            <w:tcW w:w="1920" w:type="dxa"/>
            <w:noWrap/>
            <w:hideMark/>
          </w:tcPr>
          <w:p w:rsidR="00A60F0D" w:rsidRPr="00A60F0D" w:rsidRDefault="00A60F0D"/>
        </w:tc>
        <w:tc>
          <w:tcPr>
            <w:tcW w:w="1720" w:type="dxa"/>
            <w:noWrap/>
            <w:hideMark/>
          </w:tcPr>
          <w:p w:rsidR="00A60F0D" w:rsidRPr="00A60F0D" w:rsidRDefault="00A60F0D"/>
        </w:tc>
        <w:tc>
          <w:tcPr>
            <w:tcW w:w="1860" w:type="dxa"/>
            <w:noWrap/>
            <w:hideMark/>
          </w:tcPr>
          <w:p w:rsidR="00A60F0D" w:rsidRPr="00A60F0D" w:rsidRDefault="00A60F0D"/>
        </w:tc>
        <w:tc>
          <w:tcPr>
            <w:tcW w:w="1660" w:type="dxa"/>
            <w:noWrap/>
            <w:hideMark/>
          </w:tcPr>
          <w:p w:rsidR="00A60F0D" w:rsidRPr="00A60F0D" w:rsidRDefault="00A60F0D"/>
        </w:tc>
      </w:tr>
      <w:tr w:rsidR="00A60F0D" w:rsidRPr="00A60F0D" w:rsidTr="00A60F0D">
        <w:trPr>
          <w:trHeight w:val="330"/>
        </w:trPr>
        <w:tc>
          <w:tcPr>
            <w:tcW w:w="8160" w:type="dxa"/>
            <w:gridSpan w:val="3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Conducător instituție,</w:t>
            </w:r>
          </w:p>
        </w:tc>
        <w:tc>
          <w:tcPr>
            <w:tcW w:w="1780" w:type="dxa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</w:p>
        </w:tc>
        <w:tc>
          <w:tcPr>
            <w:tcW w:w="9800" w:type="dxa"/>
            <w:gridSpan w:val="6"/>
            <w:noWrap/>
            <w:hideMark/>
          </w:tcPr>
          <w:p w:rsidR="00A60F0D" w:rsidRPr="00A60F0D" w:rsidRDefault="00A60F0D" w:rsidP="00A60F0D">
            <w:pPr>
              <w:rPr>
                <w:b/>
                <w:bCs/>
              </w:rPr>
            </w:pPr>
            <w:r w:rsidRPr="00A60F0D">
              <w:rPr>
                <w:b/>
                <w:bCs/>
              </w:rPr>
              <w:t>Persoană desemnată,</w:t>
            </w:r>
          </w:p>
        </w:tc>
      </w:tr>
    </w:tbl>
    <w:p w:rsidR="0042270A" w:rsidRDefault="0042270A">
      <w:bookmarkStart w:id="0" w:name="_GoBack"/>
      <w:bookmarkEnd w:id="0"/>
    </w:p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p w:rsidR="00A60F0D" w:rsidRDefault="00A60F0D"/>
    <w:sectPr w:rsidR="00A60F0D" w:rsidSect="00A60F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D"/>
    <w:rsid w:val="0042270A"/>
    <w:rsid w:val="00A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C3B4D-9F04-4E1E-B1F9-A601584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DSV Arad</dc:creator>
  <cp:keywords/>
  <dc:description/>
  <cp:lastModifiedBy>DSV Arad</cp:lastModifiedBy>
  <cp:revision>2</cp:revision>
  <dcterms:created xsi:type="dcterms:W3CDTF">2025-06-24T12:34:00Z</dcterms:created>
  <dcterms:modified xsi:type="dcterms:W3CDTF">2025-06-24T12:35:00Z</dcterms:modified>
</cp:coreProperties>
</file>